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DC" w:rsidRPr="00D77ADC" w:rsidRDefault="00D77ADC" w:rsidP="00D77ADC">
      <w:pPr>
        <w:jc w:val="center"/>
        <w:rPr>
          <w:rFonts w:ascii="宋体" w:hAnsi="宋体" w:cs="宋体"/>
          <w:b/>
          <w:color w:val="333333"/>
          <w:kern w:val="0"/>
          <w:sz w:val="30"/>
          <w:szCs w:val="30"/>
        </w:rPr>
      </w:pPr>
      <w:r w:rsidRPr="00D77ADC">
        <w:rPr>
          <w:rFonts w:ascii="宋体" w:hAnsi="宋体" w:cs="宋体" w:hint="eastAsia"/>
          <w:b/>
          <w:color w:val="333333"/>
          <w:kern w:val="0"/>
          <w:sz w:val="30"/>
          <w:szCs w:val="30"/>
        </w:rPr>
        <w:t>鼠抗人</w:t>
      </w:r>
      <w:r w:rsidRPr="00D77ADC">
        <w:rPr>
          <w:rFonts w:ascii="ˎ̥" w:hAnsi="ˎ̥" w:cs="宋体"/>
          <w:b/>
          <w:color w:val="000000"/>
          <w:kern w:val="0"/>
          <w:sz w:val="30"/>
          <w:szCs w:val="30"/>
        </w:rPr>
        <w:t>D-</w:t>
      </w:r>
      <w:r w:rsidRPr="00D77ADC">
        <w:rPr>
          <w:rFonts w:ascii="宋体" w:hAnsi="宋体" w:cs="宋体"/>
          <w:b/>
          <w:color w:val="000000"/>
          <w:kern w:val="0"/>
          <w:sz w:val="30"/>
          <w:szCs w:val="30"/>
        </w:rPr>
        <w:t>泛酸</w:t>
      </w:r>
      <w:r w:rsidRPr="00D77ADC">
        <w:rPr>
          <w:rFonts w:ascii="ˎ̥" w:hAnsi="ˎ̥" w:cs="宋体"/>
          <w:b/>
          <w:color w:val="000000"/>
          <w:kern w:val="0"/>
          <w:sz w:val="30"/>
          <w:szCs w:val="30"/>
        </w:rPr>
        <w:t>(Pantothenic Acid)</w:t>
      </w:r>
      <w:r w:rsidRPr="00D77ADC">
        <w:rPr>
          <w:rFonts w:ascii="宋体" w:hAnsi="宋体" w:cs="宋体"/>
          <w:b/>
          <w:color w:val="000000"/>
          <w:kern w:val="0"/>
          <w:sz w:val="30"/>
          <w:szCs w:val="30"/>
        </w:rPr>
        <w:t>单抗</w:t>
      </w:r>
      <w:r w:rsidRPr="00D77AD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说明书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方正姚体" w:hAnsi="方正姚体" w:cs="宋体" w:hint="eastAsia"/>
          <w:b/>
          <w:bCs/>
          <w:color w:val="484848"/>
          <w:kern w:val="0"/>
          <w:sz w:val="24"/>
          <w:szCs w:val="24"/>
        </w:rPr>
      </w:pP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检测原理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ind w:firstLine="480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color w:val="484848"/>
          <w:kern w:val="0"/>
          <w:sz w:val="24"/>
          <w:szCs w:val="24"/>
        </w:rPr>
        <w:t>试剂盒采用双抗体一步夹心法酶联免疫吸附试验（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ELISA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）。往预先包被人钙卫蛋白（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Calprotectin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）捕获抗体的包被微孔中，依次加入标本、标准品、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HRP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标记的检测抗体，经过温育并彻底洗涤。用底物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TMB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显色，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TMB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在过氧化物酶的催化下转化成蓝色，并在酸的作用下转化成最终的黄色。颜色的深浅和样品中的人钙卫蛋白（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Calprotectin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）呈正相关。用酶标仪在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450nm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波长下测定吸光度（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OD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值），计算样品浓度。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样品收集、处理及保存方法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1.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血清：使用不含热原和内毒素的试管，操作过程中避免任何细胞刺激，收集血液后，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3000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转离心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分钟将血清和红细胞迅速小心地分离。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2.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血浆：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EDTA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、柠檬酸盐或肝素抗凝。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3000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转离心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30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分钟取上清。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3.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细胞上清液：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3000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转离心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分钟去除颗粒和聚合物。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4.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组织匀浆：将组织加入适量生理盐水捣碎。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3000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转离心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分钟取上清。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5.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保存：如果样本收集后不及时检测，请按一次用量分装，冻存于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-20</w:t>
      </w:r>
      <w:r>
        <w:rPr>
          <w:rFonts w:ascii="宋体" w:hAnsi="宋体" w:cs="宋体" w:hint="eastAsia"/>
          <w:color w:val="484848"/>
          <w:kern w:val="0"/>
          <w:sz w:val="24"/>
          <w:szCs w:val="24"/>
        </w:rPr>
        <w:t>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，避免反复冻融，在室温下解冻并确保样品均匀地充分解冻。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自备物品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ind w:left="390" w:hanging="390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1.</w:t>
      </w:r>
      <w:r>
        <w:rPr>
          <w:rFonts w:ascii="Times New Roman" w:eastAsia="方正姚体" w:hAnsi="Times New Roman"/>
          <w:color w:val="484848"/>
          <w:kern w:val="0"/>
          <w:sz w:val="14"/>
          <w:szCs w:val="14"/>
        </w:rPr>
        <w:t xml:space="preserve">   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酶标仪（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450nm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）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ind w:left="390" w:hanging="390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2.</w:t>
      </w:r>
      <w:r>
        <w:rPr>
          <w:rFonts w:ascii="Times New Roman" w:eastAsia="方正姚体" w:hAnsi="Times New Roman"/>
          <w:color w:val="484848"/>
          <w:kern w:val="0"/>
          <w:sz w:val="14"/>
          <w:szCs w:val="14"/>
        </w:rPr>
        <w:t xml:space="preserve">   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高精度加样器及枪头：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0.5-10uL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、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2-20uL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、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20-200uL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、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200-1000uL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ind w:left="390" w:hanging="390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3.</w:t>
      </w:r>
      <w:r>
        <w:rPr>
          <w:rFonts w:ascii="Times New Roman" w:eastAsia="方正姚体" w:hAnsi="Times New Roman"/>
          <w:color w:val="484848"/>
          <w:kern w:val="0"/>
          <w:sz w:val="14"/>
          <w:szCs w:val="14"/>
        </w:rPr>
        <w:t xml:space="preserve">     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37</w:t>
      </w:r>
      <w:r>
        <w:rPr>
          <w:rFonts w:ascii="方正姚体" w:hAnsi="宋体" w:cs="宋体"/>
          <w:color w:val="484848"/>
          <w:kern w:val="0"/>
          <w:sz w:val="24"/>
          <w:szCs w:val="24"/>
        </w:rPr>
        <w:t>℃恒温箱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操作注意事项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1.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试剂盒保存在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2-8</w:t>
      </w:r>
      <w:r>
        <w:rPr>
          <w:rFonts w:ascii="宋体" w:hAnsi="宋体" w:cs="宋体" w:hint="eastAsia"/>
          <w:color w:val="484848"/>
          <w:kern w:val="0"/>
          <w:sz w:val="24"/>
          <w:szCs w:val="24"/>
        </w:rPr>
        <w:t>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，使用前室温平衡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20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分钟。从冰箱取出的浓缩洗涤液会有结晶，这属于正常现象，水浴加热使结晶完全溶解后再使用。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2.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实验中不用的板条应立即放回自封袋中，密封（低温干燥）保存。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3.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标准品稀释液即可视为阴性对照或者空白；预处理后的样本无需稀释，直接取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10μL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加样即可。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lastRenderedPageBreak/>
        <w:t>4.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严格按照说明书中标明的时间、加液量及顺序进行温育操作。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5.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所有液体组分使用前充分摇匀。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试剂盒组成</w:t>
      </w:r>
    </w:p>
    <w:tbl>
      <w:tblPr>
        <w:tblW w:w="72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2"/>
        <w:gridCol w:w="1391"/>
        <w:gridCol w:w="1356"/>
        <w:gridCol w:w="1939"/>
      </w:tblGrid>
      <w:tr w:rsidR="00D77ADC" w:rsidTr="00D77ADC"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b/>
                <w:bCs/>
                <w:kern w:val="0"/>
                <w:sz w:val="18"/>
                <w:szCs w:val="18"/>
              </w:rPr>
              <w:t>96</w:t>
            </w:r>
            <w:r>
              <w:rPr>
                <w:rFonts w:ascii="方正姚体" w:hAnsi="宋体" w:cs="宋体"/>
                <w:b/>
                <w:bCs/>
                <w:kern w:val="0"/>
                <w:sz w:val="18"/>
                <w:szCs w:val="18"/>
              </w:rPr>
              <w:t>孔配置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b/>
                <w:bCs/>
                <w:kern w:val="0"/>
                <w:sz w:val="18"/>
                <w:szCs w:val="18"/>
              </w:rPr>
              <w:t>48</w:t>
            </w:r>
            <w:r>
              <w:rPr>
                <w:rFonts w:ascii="方正姚体" w:hAnsi="宋体" w:cs="宋体"/>
                <w:b/>
                <w:bCs/>
                <w:kern w:val="0"/>
                <w:sz w:val="18"/>
                <w:szCs w:val="18"/>
              </w:rPr>
              <w:t>孔配置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D77ADC" w:rsidTr="00D77ADC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微孔酶标板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孔×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孔×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77ADC" w:rsidTr="00D77ADC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标准品（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120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μg/g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0.6mL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0.6mL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按说明书进行稀释</w:t>
            </w:r>
          </w:p>
        </w:tc>
      </w:tr>
      <w:tr w:rsidR="00D77ADC" w:rsidTr="00D77ADC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标准品稀释液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6mL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3mL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77ADC" w:rsidTr="00D77ADC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样本稀释液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6mL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3mL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77ADC" w:rsidTr="00D77ADC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检测抗体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-HRP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10mL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5mL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77ADC" w:rsidTr="00D77ADC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×洗涤缓冲液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25mL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15mL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按说明书进行稀释</w:t>
            </w:r>
          </w:p>
        </w:tc>
      </w:tr>
      <w:tr w:rsidR="00D77ADC" w:rsidTr="00D77ADC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底物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6mL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3mL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77ADC" w:rsidTr="00D77ADC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底物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6mL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3mL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77ADC" w:rsidTr="00D77ADC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终止液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6mL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3mL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77ADC" w:rsidTr="00D77ADC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封板膜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77ADC" w:rsidTr="00D77ADC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说明书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份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D77ADC" w:rsidTr="00D77ADC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自封袋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方正姚体" w:hAnsi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DC" w:rsidRDefault="00D77A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方正姚体" w:hAnsi="宋体" w:cs="宋体"/>
                <w:kern w:val="0"/>
                <w:sz w:val="18"/>
                <w:szCs w:val="18"/>
              </w:rPr>
              <w:t>无</w:t>
            </w:r>
          </w:p>
        </w:tc>
      </w:tr>
    </w:tbl>
    <w:p w:rsidR="00D77ADC" w:rsidRDefault="00D77ADC" w:rsidP="00D77ADC">
      <w:pPr>
        <w:widowControl/>
        <w:spacing w:before="100" w:beforeAutospacing="1" w:after="100" w:afterAutospacing="1" w:line="360" w:lineRule="atLeast"/>
        <w:ind w:left="360" w:hanging="360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color w:val="484848"/>
          <w:kern w:val="0"/>
          <w:sz w:val="18"/>
          <w:szCs w:val="18"/>
        </w:rPr>
        <w:t>注：标准品用标准品稀释液依次稀释为：</w:t>
      </w:r>
      <w:r>
        <w:rPr>
          <w:rFonts w:ascii="宋体" w:hAnsi="宋体" w:hint="eastAsia"/>
          <w:color w:val="484848"/>
          <w:kern w:val="0"/>
          <w:sz w:val="18"/>
          <w:szCs w:val="18"/>
        </w:rPr>
        <w:t>120、60、30、15、7.5、3.75 μg/g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试剂的准备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 xml:space="preserve">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20×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洗涤缓冲液的稀释：蒸馏水按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：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20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稀释，即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份的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20×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洗涤缓冲液加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19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份的蒸馏水。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洗板方法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1.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手工洗板：甩尽孔内液体，每孔加满洗涤液，静置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1min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后甩尽孔内液体，在吸水纸上拍干，如此洗板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5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次。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2.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自动洗板机：每孔注入洗液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350μL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，浸泡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1min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，洗板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5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次。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操作步骤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1.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从室温平衡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20min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后的铝箔袋中取出所需板条，剩余板条用自封袋密封放回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484848"/>
          <w:kern w:val="0"/>
          <w:sz w:val="24"/>
          <w:szCs w:val="24"/>
        </w:rPr>
        <w:t>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2.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设置标准品孔和样本孔，标准品孔各加不同浓度的标准品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50μL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；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3.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待测样本孔先加待测样本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10μL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，再加样本稀释液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40μL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；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lastRenderedPageBreak/>
        <w:t>4.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随后标准品孔和样本孔中每孔加入辣根过氧化物酶（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HRP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）标记的检测抗体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100μL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，用封板膜封住反应孔，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37</w:t>
      </w:r>
      <w:r>
        <w:rPr>
          <w:rFonts w:ascii="宋体" w:hAnsi="宋体" w:cs="宋体" w:hint="eastAsia"/>
          <w:color w:val="484848"/>
          <w:kern w:val="0"/>
          <w:sz w:val="24"/>
          <w:szCs w:val="24"/>
        </w:rPr>
        <w:t>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水浴锅或恒温箱温育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60min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5.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弃去液体，吸水纸上拍干，每孔加满洗涤液，静置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1min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，甩去洗涤液，吸水纸上拍干，如此重复洗板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5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次（也可用洗板机洗板）。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6.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每孔加入底物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A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、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B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各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50μL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37</w:t>
      </w:r>
      <w:r>
        <w:rPr>
          <w:rFonts w:ascii="宋体" w:hAnsi="宋体" w:cs="宋体" w:hint="eastAsia"/>
          <w:color w:val="484848"/>
          <w:kern w:val="0"/>
          <w:sz w:val="24"/>
          <w:szCs w:val="24"/>
        </w:rPr>
        <w:t>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避光孵育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15min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7.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每孔加入终止液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50μL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15min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内，在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450nm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波长处测定各孔的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OD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值。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结果判断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 xml:space="preserve">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绘制标准曲线：在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Excel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工作表中，以标准品浓度作横坐标，对应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OD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值作纵坐标，绘制出标准品线性回归曲线，按曲线方程计算各样本浓度值。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试剂盒性能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1.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准确性：标准品线性回归与预期浓度相关系数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R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值，大于等于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0.9900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2.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灵敏度：最低检测浓度小于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1.0</w:t>
      </w:r>
      <w:r>
        <w:rPr>
          <w:rFonts w:ascii="宋体" w:hAnsi="宋体" w:hint="eastAsia"/>
          <w:color w:val="484848"/>
          <w:kern w:val="0"/>
          <w:sz w:val="18"/>
          <w:szCs w:val="18"/>
        </w:rPr>
        <w:t>μg/g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3.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特异性：不与其它可溶性结构类似物交叉反应。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4.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重复性：板内、板间变异系数均小于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15%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5.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贮藏：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2-8</w:t>
      </w:r>
      <w:r>
        <w:rPr>
          <w:rFonts w:ascii="宋体" w:hAnsi="宋体" w:cs="宋体" w:hint="eastAsia"/>
          <w:color w:val="484848"/>
          <w:kern w:val="0"/>
          <w:sz w:val="24"/>
          <w:szCs w:val="24"/>
        </w:rPr>
        <w:t>℃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，避光防潮保存。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6.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有效期：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6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个月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方正姚体" w:cs="宋体"/>
          <w:b/>
          <w:bCs/>
          <w:color w:val="484848"/>
          <w:kern w:val="0"/>
          <w:sz w:val="24"/>
          <w:szCs w:val="24"/>
        </w:rPr>
        <w:t>免责声明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1.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试剂盒仅供研究使用，不得用于临床实验或人体实验，否则所产生的一切后果，由实验者承担，本公司概不负责。</w:t>
      </w:r>
    </w:p>
    <w:p w:rsidR="00D77ADC" w:rsidRDefault="00D77ADC" w:rsidP="00D77ADC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color w:val="484848"/>
          <w:kern w:val="0"/>
          <w:sz w:val="18"/>
          <w:szCs w:val="18"/>
        </w:rPr>
      </w:pPr>
      <w:r>
        <w:rPr>
          <w:rFonts w:ascii="方正姚体" w:hAnsi="宋体" w:cs="宋体"/>
          <w:color w:val="484848"/>
          <w:kern w:val="0"/>
          <w:sz w:val="24"/>
          <w:szCs w:val="24"/>
        </w:rPr>
        <w:t>2.</w:t>
      </w:r>
      <w:r>
        <w:rPr>
          <w:rFonts w:ascii="宋体" w:hAnsi="宋体" w:cs="宋体"/>
          <w:color w:val="484848"/>
          <w:kern w:val="0"/>
          <w:sz w:val="24"/>
          <w:szCs w:val="24"/>
        </w:rPr>
        <w:t xml:space="preserve">   </w:t>
      </w:r>
      <w:r>
        <w:rPr>
          <w:rFonts w:ascii="方正姚体" w:hAnsi="方正姚体" w:cs="宋体"/>
          <w:color w:val="484848"/>
          <w:kern w:val="0"/>
          <w:sz w:val="24"/>
          <w:szCs w:val="24"/>
        </w:rPr>
        <w:t>严格按照说明书操作，实验者违反说明书操作，后果由实验者承担。</w:t>
      </w:r>
    </w:p>
    <w:p w:rsidR="00D77ADC" w:rsidRDefault="00D77ADC" w:rsidP="00D77ADC">
      <w:pPr>
        <w:rPr>
          <w:rFonts w:hint="eastAsia"/>
        </w:rPr>
      </w:pPr>
      <w:r>
        <w:t xml:space="preserve"> </w:t>
      </w:r>
    </w:p>
    <w:p w:rsidR="0037141A" w:rsidRDefault="0037141A"/>
    <w:sectPr w:rsidR="0037141A" w:rsidSect="00371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姚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ADC"/>
    <w:rsid w:val="0037141A"/>
    <w:rsid w:val="00D7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D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77ADC"/>
    <w:rPr>
      <w:rFonts w:ascii="ˎ̥" w:hAnsi="ˎ̥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1">
    <w:name w:val="font11"/>
    <w:basedOn w:val="a0"/>
    <w:rsid w:val="00D77AD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2021-07-23T05:11:00Z</dcterms:created>
  <dcterms:modified xsi:type="dcterms:W3CDTF">2021-07-23T05:12:00Z</dcterms:modified>
</cp:coreProperties>
</file>